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泸县2022年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预算绩效工作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我县不断深化预算管理制度改革，扎实推进预算绩效管理，以事前评估、事中监督、事后跟踪为关键节点，以绩效目标引领、绩效结果应用为支撑，强化预算绩效全过程管理，进一步提高了财政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聚焦事前评估，加强预算绩效评估管理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县在编制年初预算时，明确将县级财政预算支持的部门整体预算和项目预算纳入绩效评估，部门整体预算绩效评估包括：单位主要职能、机构设置及人员配置、预算申报资金、中长期目标和年度目标。项目预算绩效评估包括：项目立项必要性、实施可行性、实施内容、预算申报资金中长期目标和年度目标。推动部门整体预算和项目预算绩效评估，进一步提高了预算编制的科学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</w:rPr>
        <w:t>聚焦事中监督，加强预算绩效运行监控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全县预算项目、预算项目执行单位均按要求开展绩效监控工作，实现了绩效监控全覆盖。全年通过部门单位自行监控和财政部门重点监控共调整项目285个，涉及金额1.25亿元。对于绩效监控中发现预算执行和绩效目标偏离较大、预计或已经造成重大损失浪费风险等情况的，暂停项目实施，按照有关程序调减预算并停止拨付资金，及时止损，确保了财政资金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</w:rPr>
        <w:t>聚焦事后跟踪，加强预算绩效评价管理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2022年，选取泸县融媒体中心（泸县广播电视台）、泸县总工会等5个部门开展部门整体支出重点绩效评价，涉及金额0.54亿元；对庆祝建党100周年系列文化活动、电视高清制播能力提升、2021 年度计划生育奖励扶助、大学生入伍一次性奖励等14个项目开展重点绩效评价，涉及金额1.03亿元。预算绩效评价以事实为依据，对公共支出效果能作出客观评价，有利于发现问题，提高项目管理质量。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TU2ZjA5OTJjOWRkODY3YTYyNDQ3NGU3YThjZWMifQ=="/>
  </w:docVars>
  <w:rsids>
    <w:rsidRoot w:val="00000000"/>
    <w:rsid w:val="5C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2023-09-28T08:38:34Z</dcterms:created>
  <dc:creator>Administrator</dc:creator>
  <cp:lastModifiedBy>荷西</cp:lastModifiedBy>
  <dcterms:modified xsi:type="dcterms:W3CDTF">2023-09-28T08:43:37Z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19235EA6093643568EBB1CFD1AA69A86_12</vt:lpwstr>
  </property>
</Properties>
</file>